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57" w:rsidRDefault="00135351">
      <w:pPr>
        <w:spacing w:line="240" w:lineRule="auto"/>
        <w:rPr>
          <w:b/>
        </w:rPr>
      </w:pPr>
      <w:r>
        <w:rPr>
          <w:b/>
        </w:rPr>
        <w:t>Impoundment Restoration at John Heinz NWR</w:t>
      </w:r>
    </w:p>
    <w:p w:rsidR="00421257" w:rsidRDefault="00421257">
      <w:pPr>
        <w:spacing w:line="240" w:lineRule="auto"/>
        <w:rPr>
          <w:rFonts w:ascii="Calibri" w:eastAsia="Calibri" w:hAnsi="Calibri" w:cs="Calibri"/>
          <w:b/>
        </w:rPr>
      </w:pPr>
    </w:p>
    <w:p w:rsidR="00421257" w:rsidRDefault="00135351">
      <w:pPr>
        <w:spacing w:line="240" w:lineRule="auto"/>
        <w:rPr>
          <w:rFonts w:ascii="Calibri" w:eastAsia="Calibri" w:hAnsi="Calibri" w:cs="Calibri"/>
        </w:rPr>
      </w:pPr>
      <w:r>
        <w:rPr>
          <w:rFonts w:ascii="Calibri" w:eastAsia="Calibri" w:hAnsi="Calibri" w:cs="Calibri"/>
          <w:b/>
        </w:rPr>
        <w:t>Monitoring approaches for Marsh Restoration and/or Living Shorelines</w:t>
      </w:r>
    </w:p>
    <w:p w:rsidR="00421257" w:rsidRDefault="00135351">
      <w:pPr>
        <w:widowControl w:val="0"/>
        <w:spacing w:line="240" w:lineRule="auto"/>
        <w:rPr>
          <w:rFonts w:ascii="Calibri" w:eastAsia="Calibri" w:hAnsi="Calibri" w:cs="Calibri"/>
          <w:i/>
        </w:rPr>
      </w:pPr>
      <w:r>
        <w:rPr>
          <w:rFonts w:ascii="Calibri" w:eastAsia="Calibri" w:hAnsi="Calibri" w:cs="Calibri"/>
          <w:i/>
        </w:rPr>
        <w:t>[You must use Appendix A to complete this table]</w:t>
      </w:r>
    </w:p>
    <w:tbl>
      <w:tblPr>
        <w:tblStyle w:val="a"/>
        <w:tblW w:w="9483" w:type="dxa"/>
        <w:jc w:val="center"/>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
        <w:gridCol w:w="2577"/>
        <w:gridCol w:w="1750"/>
        <w:gridCol w:w="604"/>
        <w:gridCol w:w="999"/>
        <w:gridCol w:w="2500"/>
        <w:gridCol w:w="13"/>
      </w:tblGrid>
      <w:tr w:rsidR="00421257">
        <w:trPr>
          <w:trHeight w:val="280"/>
          <w:jc w:val="center"/>
        </w:trPr>
        <w:tc>
          <w:tcPr>
            <w:tcW w:w="9483" w:type="dxa"/>
            <w:gridSpan w:val="7"/>
            <w:tcBorders>
              <w:top w:val="single" w:sz="12" w:space="0" w:color="FFFFFF"/>
              <w:left w:val="single" w:sz="12" w:space="0" w:color="FFFFFF"/>
              <w:bottom w:val="single" w:sz="12" w:space="0" w:color="FFFFFF"/>
              <w:right w:val="single" w:sz="12" w:space="0" w:color="FFFFFF"/>
            </w:tcBorders>
            <w:shd w:val="clear" w:color="auto" w:fill="F7CAAC"/>
          </w:tcPr>
          <w:p w:rsidR="00421257" w:rsidRDefault="00135351">
            <w:pPr>
              <w:spacing w:before="10" w:after="10" w:line="240" w:lineRule="auto"/>
              <w:jc w:val="center"/>
              <w:rPr>
                <w:rFonts w:ascii="Arial Narrow" w:eastAsia="Arial Narrow" w:hAnsi="Arial Narrow" w:cs="Arial Narrow"/>
                <w:b/>
                <w:sz w:val="20"/>
                <w:szCs w:val="20"/>
              </w:rPr>
            </w:pPr>
            <w:r>
              <w:rPr>
                <w:rFonts w:ascii="Arial Narrow" w:eastAsia="Arial Narrow" w:hAnsi="Arial Narrow" w:cs="Arial Narrow"/>
                <w:b/>
              </w:rPr>
              <w:t>Marsh Restoration and/or Living Shorelines</w:t>
            </w:r>
          </w:p>
        </w:tc>
      </w:tr>
      <w:tr w:rsidR="00421257">
        <w:trPr>
          <w:gridAfter w:val="1"/>
          <w:wAfter w:w="13" w:type="dxa"/>
          <w:jc w:val="center"/>
        </w:trPr>
        <w:tc>
          <w:tcPr>
            <w:tcW w:w="1040" w:type="dxa"/>
            <w:tcBorders>
              <w:top w:val="single" w:sz="12" w:space="0" w:color="FFFFFF"/>
              <w:left w:val="single" w:sz="12" w:space="0" w:color="FFFFFF"/>
              <w:bottom w:val="single" w:sz="12" w:space="0" w:color="984806"/>
              <w:right w:val="single" w:sz="12" w:space="0" w:color="FFFFFF"/>
            </w:tcBorders>
            <w:shd w:val="clear" w:color="auto" w:fill="F7CAAC"/>
          </w:tcPr>
          <w:p w:rsidR="00421257" w:rsidRDefault="00135351">
            <w:pPr>
              <w:spacing w:before="10" w:after="1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Metric (include units)</w:t>
            </w:r>
          </w:p>
        </w:tc>
        <w:tc>
          <w:tcPr>
            <w:tcW w:w="2577" w:type="dxa"/>
            <w:tcBorders>
              <w:top w:val="single" w:sz="12" w:space="0" w:color="FFFFFF"/>
              <w:left w:val="single" w:sz="12" w:space="0" w:color="FFFFFF"/>
              <w:bottom w:val="single" w:sz="12" w:space="0" w:color="984806"/>
              <w:right w:val="single" w:sz="24" w:space="0" w:color="FFFFFF"/>
            </w:tcBorders>
            <w:shd w:val="clear" w:color="auto" w:fill="F7CAAC"/>
            <w:vAlign w:val="center"/>
          </w:tcPr>
          <w:p w:rsidR="00421257" w:rsidRDefault="00135351">
            <w:pPr>
              <w:spacing w:before="10" w:after="10" w:line="240" w:lineRule="auto"/>
              <w:jc w:val="center"/>
              <w:rPr>
                <w:rFonts w:ascii="Arial Narrow" w:eastAsia="Arial Narrow" w:hAnsi="Arial Narrow" w:cs="Arial Narrow"/>
                <w:sz w:val="20"/>
                <w:szCs w:val="20"/>
                <w:u w:val="single"/>
              </w:rPr>
            </w:pPr>
            <w:r>
              <w:rPr>
                <w:rFonts w:ascii="Arial Narrow" w:eastAsia="Arial Narrow" w:hAnsi="Arial Narrow" w:cs="Arial Narrow"/>
                <w:b/>
                <w:sz w:val="20"/>
                <w:szCs w:val="20"/>
              </w:rPr>
              <w:t>Difference to Recommended Methods and Protocols (if any)</w:t>
            </w:r>
          </w:p>
        </w:tc>
        <w:tc>
          <w:tcPr>
            <w:tcW w:w="1750" w:type="dxa"/>
            <w:tcBorders>
              <w:top w:val="single" w:sz="12" w:space="0" w:color="FFFFFF"/>
              <w:left w:val="single" w:sz="24" w:space="0" w:color="FFFFFF"/>
              <w:bottom w:val="single" w:sz="12" w:space="0" w:color="984806"/>
              <w:right w:val="single" w:sz="24" w:space="0" w:color="FFFFFF"/>
            </w:tcBorders>
            <w:shd w:val="clear" w:color="auto" w:fill="F7CAAC"/>
          </w:tcPr>
          <w:p w:rsidR="00421257" w:rsidRDefault="00135351">
            <w:pPr>
              <w:spacing w:before="10" w:after="1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Spatial extent of metric monitoring</w:t>
            </w:r>
          </w:p>
        </w:tc>
        <w:tc>
          <w:tcPr>
            <w:tcW w:w="604" w:type="dxa"/>
            <w:tcBorders>
              <w:top w:val="single" w:sz="12" w:space="0" w:color="FFFFFF"/>
              <w:left w:val="single" w:sz="24" w:space="0" w:color="FFFFFF"/>
              <w:bottom w:val="single" w:sz="12" w:space="0" w:color="984806"/>
              <w:right w:val="single" w:sz="24" w:space="0" w:color="FFFFFF"/>
            </w:tcBorders>
            <w:shd w:val="clear" w:color="auto" w:fill="F7CAAC"/>
          </w:tcPr>
          <w:p w:rsidR="00421257" w:rsidRDefault="00135351">
            <w:pPr>
              <w:spacing w:before="10" w:after="1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Baseline </w:t>
            </w:r>
            <w:proofErr w:type="spellStart"/>
            <w:r>
              <w:rPr>
                <w:rFonts w:ascii="Arial Narrow" w:eastAsia="Arial Narrow" w:hAnsi="Arial Narrow" w:cs="Arial Narrow"/>
                <w:b/>
                <w:sz w:val="20"/>
                <w:szCs w:val="20"/>
              </w:rPr>
              <w:t>yr</w:t>
            </w:r>
            <w:proofErr w:type="spellEnd"/>
          </w:p>
        </w:tc>
        <w:tc>
          <w:tcPr>
            <w:tcW w:w="999" w:type="dxa"/>
            <w:tcBorders>
              <w:top w:val="single" w:sz="12" w:space="0" w:color="FFFFFF"/>
              <w:left w:val="single" w:sz="24" w:space="0" w:color="FFFFFF"/>
              <w:bottom w:val="single" w:sz="12" w:space="0" w:color="984806"/>
              <w:right w:val="single" w:sz="24" w:space="0" w:color="FFFFFF"/>
            </w:tcBorders>
            <w:shd w:val="clear" w:color="auto" w:fill="F7CAAC"/>
          </w:tcPr>
          <w:p w:rsidR="00421257" w:rsidRDefault="00135351">
            <w:pPr>
              <w:spacing w:before="10" w:after="1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Frequency/ Timing</w:t>
            </w:r>
          </w:p>
        </w:tc>
        <w:tc>
          <w:tcPr>
            <w:tcW w:w="2500" w:type="dxa"/>
            <w:tcBorders>
              <w:top w:val="single" w:sz="12" w:space="0" w:color="FFFFFF"/>
              <w:left w:val="single" w:sz="24" w:space="0" w:color="FFFFFF"/>
              <w:bottom w:val="single" w:sz="12" w:space="0" w:color="984806"/>
              <w:right w:val="single" w:sz="24" w:space="0" w:color="FFFFFF"/>
            </w:tcBorders>
            <w:shd w:val="clear" w:color="auto" w:fill="F7CAAC"/>
            <w:vAlign w:val="center"/>
          </w:tcPr>
          <w:p w:rsidR="00421257" w:rsidRDefault="00135351">
            <w:pPr>
              <w:spacing w:before="10" w:after="1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Data Limitations/ Considerations</w:t>
            </w:r>
          </w:p>
        </w:tc>
      </w:tr>
      <w:tr w:rsidR="00421257">
        <w:trPr>
          <w:gridAfter w:val="1"/>
          <w:wAfter w:w="13" w:type="dxa"/>
          <w:trHeight w:val="960"/>
          <w:jc w:val="center"/>
        </w:trPr>
        <w:tc>
          <w:tcPr>
            <w:tcW w:w="1040" w:type="dxa"/>
            <w:tcBorders>
              <w:top w:val="single" w:sz="12" w:space="0" w:color="984806"/>
              <w:left w:val="single" w:sz="12" w:space="0" w:color="FFFFFF"/>
              <w:bottom w:val="single" w:sz="12" w:space="0" w:color="984806"/>
              <w:right w:val="single" w:sz="12"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Percent Cover of biomass by species or cover type (% ranging from 0-100)</w:t>
            </w:r>
          </w:p>
        </w:tc>
        <w:tc>
          <w:tcPr>
            <w:tcW w:w="2577" w:type="dxa"/>
            <w:tcBorders>
              <w:top w:val="single" w:sz="12" w:space="0" w:color="984806"/>
              <w:left w:val="single" w:sz="12" w:space="0" w:color="FFFFFF"/>
              <w:bottom w:val="single" w:sz="12" w:space="0" w:color="984806"/>
              <w:right w:val="single" w:sz="24" w:space="0" w:color="FFFFFF"/>
            </w:tcBorders>
            <w:shd w:val="clear" w:color="auto" w:fill="FBE4D5"/>
          </w:tcPr>
          <w:p w:rsidR="00421257" w:rsidRDefault="00135351">
            <w:pP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Due to inability to establish transects/quadrats for current open water conditions we will use</w:t>
            </w:r>
          </w:p>
          <w:p w:rsidR="00421257" w:rsidRDefault="00135351">
            <w:pP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visual estimates for entire impoundment from shoreline, trails, boardwalks, and tower. Currently the lack of ability to manage water level affects current biomass as it is open water and not marsh. </w:t>
            </w:r>
          </w:p>
        </w:tc>
        <w:tc>
          <w:tcPr>
            <w:tcW w:w="1750" w:type="dxa"/>
            <w:tcBorders>
              <w:top w:val="single" w:sz="12" w:space="0" w:color="984806"/>
              <w:left w:val="single" w:sz="24" w:space="0" w:color="FFFFFF"/>
              <w:bottom w:val="single" w:sz="12" w:space="0" w:color="984806"/>
              <w:right w:val="single" w:sz="12"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145 Acre Impoundment</w:t>
            </w:r>
          </w:p>
        </w:tc>
        <w:tc>
          <w:tcPr>
            <w:tcW w:w="604"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2019</w:t>
            </w:r>
          </w:p>
        </w:tc>
        <w:tc>
          <w:tcPr>
            <w:tcW w:w="999"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July 2019 This will be completed annually</w:t>
            </w:r>
            <w:proofErr w:type="gramStart"/>
            <w:r>
              <w:rPr>
                <w:rFonts w:ascii="Arial Narrow" w:eastAsia="Arial Narrow" w:hAnsi="Arial Narrow" w:cs="Arial Narrow"/>
                <w:sz w:val="20"/>
                <w:szCs w:val="20"/>
              </w:rPr>
              <w:t>..</w:t>
            </w:r>
            <w:proofErr w:type="gramEnd"/>
            <w:r>
              <w:rPr>
                <w:rFonts w:ascii="Arial Narrow" w:eastAsia="Arial Narrow" w:hAnsi="Arial Narrow" w:cs="Arial Narrow"/>
                <w:sz w:val="20"/>
                <w:szCs w:val="20"/>
              </w:rPr>
              <w:t xml:space="preserve"> </w:t>
            </w:r>
          </w:p>
        </w:tc>
        <w:tc>
          <w:tcPr>
            <w:tcW w:w="2500"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The open water is largely covered by duckweed (</w:t>
            </w:r>
            <w:proofErr w:type="spellStart"/>
            <w:r>
              <w:rPr>
                <w:rFonts w:ascii="Arial Narrow" w:eastAsia="Arial Narrow" w:hAnsi="Arial Narrow" w:cs="Arial Narrow"/>
                <w:i/>
                <w:sz w:val="20"/>
                <w:szCs w:val="20"/>
              </w:rPr>
              <w:t>Lemna</w:t>
            </w:r>
            <w:proofErr w:type="spellEnd"/>
            <w:r>
              <w:rPr>
                <w:rFonts w:ascii="Arial Narrow" w:eastAsia="Arial Narrow" w:hAnsi="Arial Narrow" w:cs="Arial Narrow"/>
                <w:i/>
                <w:sz w:val="20"/>
                <w:szCs w:val="20"/>
              </w:rPr>
              <w:t xml:space="preserve"> minor</w:t>
            </w:r>
            <w:r>
              <w:rPr>
                <w:rFonts w:ascii="Arial Narrow" w:eastAsia="Arial Narrow" w:hAnsi="Arial Narrow" w:cs="Arial Narrow"/>
                <w:sz w:val="20"/>
                <w:szCs w:val="20"/>
              </w:rPr>
              <w:t>) and spatterdock (</w:t>
            </w:r>
            <w:proofErr w:type="spellStart"/>
            <w:r>
              <w:rPr>
                <w:rFonts w:ascii="Arial Narrow" w:eastAsia="Arial Narrow" w:hAnsi="Arial Narrow" w:cs="Arial Narrow"/>
                <w:i/>
                <w:sz w:val="20"/>
                <w:szCs w:val="20"/>
              </w:rPr>
              <w:t>Nuphar</w:t>
            </w:r>
            <w:proofErr w:type="spellEnd"/>
            <w:r>
              <w:rPr>
                <w:rFonts w:ascii="Arial Narrow" w:eastAsia="Arial Narrow" w:hAnsi="Arial Narrow" w:cs="Arial Narrow"/>
                <w:i/>
                <w:sz w:val="20"/>
                <w:szCs w:val="20"/>
              </w:rPr>
              <w:t xml:space="preserve"> </w:t>
            </w:r>
            <w:proofErr w:type="spellStart"/>
            <w:r>
              <w:rPr>
                <w:rFonts w:ascii="Arial Narrow" w:eastAsia="Arial Narrow" w:hAnsi="Arial Narrow" w:cs="Arial Narrow"/>
                <w:i/>
                <w:sz w:val="20"/>
                <w:szCs w:val="20"/>
              </w:rPr>
              <w:t>advena</w:t>
            </w:r>
            <w:proofErr w:type="spellEnd"/>
            <w:r>
              <w:rPr>
                <w:rFonts w:ascii="Arial Narrow" w:eastAsia="Arial Narrow" w:hAnsi="Arial Narrow" w:cs="Arial Narrow"/>
                <w:sz w:val="20"/>
                <w:szCs w:val="20"/>
              </w:rPr>
              <w:t>) with patches of cattails (</w:t>
            </w:r>
            <w:r>
              <w:rPr>
                <w:rFonts w:ascii="Arial Narrow" w:eastAsia="Arial Narrow" w:hAnsi="Arial Narrow" w:cs="Arial Narrow"/>
                <w:i/>
                <w:sz w:val="20"/>
                <w:szCs w:val="20"/>
              </w:rPr>
              <w:t xml:space="preserve">Typha </w:t>
            </w:r>
            <w:r>
              <w:rPr>
                <w:rFonts w:ascii="Arial Narrow" w:eastAsia="Arial Narrow" w:hAnsi="Arial Narrow" w:cs="Arial Narrow"/>
                <w:sz w:val="20"/>
                <w:szCs w:val="20"/>
              </w:rPr>
              <w:t xml:space="preserve">sp.) and </w:t>
            </w:r>
            <w:proofErr w:type="spellStart"/>
            <w:r>
              <w:rPr>
                <w:rFonts w:ascii="Arial Narrow" w:eastAsia="Arial Narrow" w:hAnsi="Arial Narrow" w:cs="Arial Narrow"/>
                <w:sz w:val="20"/>
                <w:szCs w:val="20"/>
              </w:rPr>
              <w:t>phragmites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i/>
                <w:sz w:val="20"/>
                <w:szCs w:val="20"/>
              </w:rPr>
              <w:t>Phragmites</w:t>
            </w:r>
            <w:proofErr w:type="spellEnd"/>
            <w:r>
              <w:rPr>
                <w:rFonts w:ascii="Arial Narrow" w:eastAsia="Arial Narrow" w:hAnsi="Arial Narrow" w:cs="Arial Narrow"/>
                <w:i/>
                <w:sz w:val="20"/>
                <w:szCs w:val="20"/>
              </w:rPr>
              <w:t xml:space="preserve"> </w:t>
            </w:r>
            <w:proofErr w:type="spellStart"/>
            <w:r>
              <w:rPr>
                <w:rFonts w:ascii="Arial Narrow" w:eastAsia="Arial Narrow" w:hAnsi="Arial Narrow" w:cs="Arial Narrow"/>
                <w:i/>
                <w:sz w:val="20"/>
                <w:szCs w:val="20"/>
              </w:rPr>
              <w:t>australis</w:t>
            </w:r>
            <w:proofErr w:type="spellEnd"/>
            <w:r>
              <w:rPr>
                <w:rFonts w:ascii="Arial Narrow" w:eastAsia="Arial Narrow" w:hAnsi="Arial Narrow" w:cs="Arial Narrow"/>
                <w:sz w:val="20"/>
                <w:szCs w:val="20"/>
              </w:rPr>
              <w:t>). Unseasonably high water levels.</w:t>
            </w:r>
          </w:p>
          <w:p w:rsidR="00421257" w:rsidRDefault="00421257">
            <w:pPr>
              <w:spacing w:before="10" w:after="10" w:line="240" w:lineRule="auto"/>
              <w:rPr>
                <w:rFonts w:ascii="Arial Narrow" w:eastAsia="Arial Narrow" w:hAnsi="Arial Narrow" w:cs="Arial Narrow"/>
                <w:sz w:val="20"/>
                <w:szCs w:val="20"/>
              </w:rPr>
            </w:pPr>
          </w:p>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The mudflats are covered with dense </w:t>
            </w:r>
            <w:proofErr w:type="spellStart"/>
            <w:r>
              <w:rPr>
                <w:rFonts w:ascii="Arial Narrow" w:eastAsia="Arial Narrow" w:hAnsi="Arial Narrow" w:cs="Arial Narrow"/>
                <w:sz w:val="20"/>
                <w:szCs w:val="20"/>
              </w:rPr>
              <w:t>phragmites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i/>
                <w:sz w:val="20"/>
                <w:szCs w:val="20"/>
              </w:rPr>
              <w:t>Phragmites</w:t>
            </w:r>
            <w:proofErr w:type="spellEnd"/>
            <w:r>
              <w:rPr>
                <w:rFonts w:ascii="Arial Narrow" w:eastAsia="Arial Narrow" w:hAnsi="Arial Narrow" w:cs="Arial Narrow"/>
                <w:i/>
                <w:sz w:val="20"/>
                <w:szCs w:val="20"/>
              </w:rPr>
              <w:t xml:space="preserve"> </w:t>
            </w:r>
            <w:proofErr w:type="spellStart"/>
            <w:r>
              <w:rPr>
                <w:rFonts w:ascii="Arial Narrow" w:eastAsia="Arial Narrow" w:hAnsi="Arial Narrow" w:cs="Arial Narrow"/>
                <w:i/>
                <w:sz w:val="20"/>
                <w:szCs w:val="20"/>
              </w:rPr>
              <w:t>australis</w:t>
            </w:r>
            <w:proofErr w:type="spellEnd"/>
            <w:r>
              <w:rPr>
                <w:rFonts w:ascii="Arial Narrow" w:eastAsia="Arial Narrow" w:hAnsi="Arial Narrow" w:cs="Arial Narrow"/>
                <w:sz w:val="20"/>
                <w:szCs w:val="20"/>
              </w:rPr>
              <w:t>) with patches of cattails (</w:t>
            </w:r>
            <w:r>
              <w:rPr>
                <w:rFonts w:ascii="Arial Narrow" w:eastAsia="Arial Narrow" w:hAnsi="Arial Narrow" w:cs="Arial Narrow"/>
                <w:i/>
                <w:sz w:val="20"/>
                <w:szCs w:val="20"/>
              </w:rPr>
              <w:t xml:space="preserve">Typha </w:t>
            </w:r>
            <w:r>
              <w:rPr>
                <w:rFonts w:ascii="Arial Narrow" w:eastAsia="Arial Narrow" w:hAnsi="Arial Narrow" w:cs="Arial Narrow"/>
                <w:sz w:val="20"/>
                <w:szCs w:val="20"/>
              </w:rPr>
              <w:t>sp.) and spatterdock (</w:t>
            </w:r>
            <w:proofErr w:type="spellStart"/>
            <w:r>
              <w:rPr>
                <w:rFonts w:ascii="Arial Narrow" w:eastAsia="Arial Narrow" w:hAnsi="Arial Narrow" w:cs="Arial Narrow"/>
                <w:i/>
                <w:sz w:val="20"/>
                <w:szCs w:val="20"/>
              </w:rPr>
              <w:t>Nuphar</w:t>
            </w:r>
            <w:proofErr w:type="spellEnd"/>
            <w:r>
              <w:rPr>
                <w:rFonts w:ascii="Arial Narrow" w:eastAsia="Arial Narrow" w:hAnsi="Arial Narrow" w:cs="Arial Narrow"/>
                <w:i/>
                <w:sz w:val="20"/>
                <w:szCs w:val="20"/>
              </w:rPr>
              <w:t xml:space="preserve"> </w:t>
            </w:r>
            <w:proofErr w:type="spellStart"/>
            <w:r>
              <w:rPr>
                <w:rFonts w:ascii="Arial Narrow" w:eastAsia="Arial Narrow" w:hAnsi="Arial Narrow" w:cs="Arial Narrow"/>
                <w:i/>
                <w:sz w:val="20"/>
                <w:szCs w:val="20"/>
              </w:rPr>
              <w:t>advena</w:t>
            </w:r>
            <w:proofErr w:type="spellEnd"/>
            <w:r>
              <w:rPr>
                <w:rFonts w:ascii="Arial Narrow" w:eastAsia="Arial Narrow" w:hAnsi="Arial Narrow" w:cs="Arial Narrow"/>
                <w:sz w:val="20"/>
                <w:szCs w:val="20"/>
              </w:rPr>
              <w:t>). Occasional pickerelweed.</w:t>
            </w:r>
          </w:p>
          <w:p w:rsidR="00421257" w:rsidRDefault="00421257">
            <w:pPr>
              <w:spacing w:before="10" w:after="10" w:line="240" w:lineRule="auto"/>
              <w:rPr>
                <w:rFonts w:ascii="Arial Narrow" w:eastAsia="Arial Narrow" w:hAnsi="Arial Narrow" w:cs="Arial Narrow"/>
                <w:sz w:val="20"/>
                <w:szCs w:val="20"/>
              </w:rPr>
            </w:pPr>
          </w:p>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The shoreline is a dense covering of </w:t>
            </w:r>
            <w:proofErr w:type="spellStart"/>
            <w:r>
              <w:rPr>
                <w:rFonts w:ascii="Arial Narrow" w:eastAsia="Arial Narrow" w:hAnsi="Arial Narrow" w:cs="Arial Narrow"/>
                <w:sz w:val="20"/>
                <w:szCs w:val="20"/>
              </w:rPr>
              <w:t>phragmites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i/>
                <w:sz w:val="20"/>
                <w:szCs w:val="20"/>
              </w:rPr>
              <w:t>Phragmites</w:t>
            </w:r>
            <w:proofErr w:type="spellEnd"/>
            <w:r>
              <w:rPr>
                <w:rFonts w:ascii="Arial Narrow" w:eastAsia="Arial Narrow" w:hAnsi="Arial Narrow" w:cs="Arial Narrow"/>
                <w:i/>
                <w:sz w:val="20"/>
                <w:szCs w:val="20"/>
              </w:rPr>
              <w:t xml:space="preserve"> </w:t>
            </w:r>
            <w:proofErr w:type="spellStart"/>
            <w:r>
              <w:rPr>
                <w:rFonts w:ascii="Arial Narrow" w:eastAsia="Arial Narrow" w:hAnsi="Arial Narrow" w:cs="Arial Narrow"/>
                <w:i/>
                <w:sz w:val="20"/>
                <w:szCs w:val="20"/>
              </w:rPr>
              <w:t>australis</w:t>
            </w:r>
            <w:proofErr w:type="spellEnd"/>
            <w:r>
              <w:rPr>
                <w:rFonts w:ascii="Arial Narrow" w:eastAsia="Arial Narrow" w:hAnsi="Arial Narrow" w:cs="Arial Narrow"/>
                <w:sz w:val="20"/>
                <w:szCs w:val="20"/>
              </w:rPr>
              <w:t>) with patches of cattails (</w:t>
            </w:r>
            <w:r>
              <w:rPr>
                <w:rFonts w:ascii="Arial Narrow" w:eastAsia="Arial Narrow" w:hAnsi="Arial Narrow" w:cs="Arial Narrow"/>
                <w:i/>
                <w:sz w:val="20"/>
                <w:szCs w:val="20"/>
              </w:rPr>
              <w:t xml:space="preserve">Typha </w:t>
            </w:r>
            <w:r>
              <w:rPr>
                <w:rFonts w:ascii="Arial Narrow" w:eastAsia="Arial Narrow" w:hAnsi="Arial Narrow" w:cs="Arial Narrow"/>
                <w:sz w:val="20"/>
                <w:szCs w:val="20"/>
              </w:rPr>
              <w:t>sp.) and spatterdock (</w:t>
            </w:r>
            <w:proofErr w:type="spellStart"/>
            <w:r>
              <w:rPr>
                <w:rFonts w:ascii="Arial Narrow" w:eastAsia="Arial Narrow" w:hAnsi="Arial Narrow" w:cs="Arial Narrow"/>
                <w:i/>
                <w:sz w:val="20"/>
                <w:szCs w:val="20"/>
              </w:rPr>
              <w:t>Nuphar</w:t>
            </w:r>
            <w:proofErr w:type="spellEnd"/>
            <w:r>
              <w:rPr>
                <w:rFonts w:ascii="Arial Narrow" w:eastAsia="Arial Narrow" w:hAnsi="Arial Narrow" w:cs="Arial Narrow"/>
                <w:i/>
                <w:sz w:val="20"/>
                <w:szCs w:val="20"/>
              </w:rPr>
              <w:t xml:space="preserve"> </w:t>
            </w:r>
            <w:proofErr w:type="spellStart"/>
            <w:r>
              <w:rPr>
                <w:rFonts w:ascii="Arial Narrow" w:eastAsia="Arial Narrow" w:hAnsi="Arial Narrow" w:cs="Arial Narrow"/>
                <w:i/>
                <w:sz w:val="20"/>
                <w:szCs w:val="20"/>
              </w:rPr>
              <w:t>advena</w:t>
            </w:r>
            <w:proofErr w:type="spellEnd"/>
            <w:r>
              <w:rPr>
                <w:rFonts w:ascii="Arial Narrow" w:eastAsia="Arial Narrow" w:hAnsi="Arial Narrow" w:cs="Arial Narrow"/>
                <w:sz w:val="20"/>
                <w:szCs w:val="20"/>
              </w:rPr>
              <w:t>). Some patches of marsh-mallow.</w:t>
            </w:r>
          </w:p>
        </w:tc>
      </w:tr>
      <w:tr w:rsidR="00421257">
        <w:trPr>
          <w:gridAfter w:val="1"/>
          <w:wAfter w:w="13" w:type="dxa"/>
          <w:trHeight w:val="860"/>
          <w:jc w:val="center"/>
        </w:trPr>
        <w:tc>
          <w:tcPr>
            <w:tcW w:w="1040" w:type="dxa"/>
            <w:tcBorders>
              <w:top w:val="single" w:sz="12" w:space="0" w:color="984806"/>
              <w:left w:val="single" w:sz="12" w:space="0" w:color="FFFFFF"/>
              <w:bottom w:val="single" w:sz="12" w:space="0" w:color="984806"/>
              <w:right w:val="single" w:sz="12"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Elevation (cm)</w:t>
            </w:r>
          </w:p>
        </w:tc>
        <w:tc>
          <w:tcPr>
            <w:tcW w:w="2577" w:type="dxa"/>
            <w:tcBorders>
              <w:top w:val="single" w:sz="12" w:space="0" w:color="984806"/>
              <w:left w:val="single" w:sz="12" w:space="0" w:color="FFFFFF"/>
              <w:bottom w:val="single" w:sz="12" w:space="0" w:color="984806"/>
              <w:right w:val="single" w:sz="24"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Since this project will improve water management in an impoundment, we do not expect significant changes in elevation. We have data from previous bathymetry surveys to compare over the long term, this was completed by USFWS in 2017.</w:t>
            </w:r>
          </w:p>
        </w:tc>
        <w:tc>
          <w:tcPr>
            <w:tcW w:w="1750" w:type="dxa"/>
            <w:tcBorders>
              <w:top w:val="single" w:sz="12" w:space="0" w:color="984806"/>
              <w:left w:val="single" w:sz="24" w:space="0" w:color="FFFFFF"/>
              <w:bottom w:val="single" w:sz="12" w:space="0" w:color="984806"/>
              <w:right w:val="single" w:sz="12"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NA</w:t>
            </w:r>
          </w:p>
        </w:tc>
        <w:tc>
          <w:tcPr>
            <w:tcW w:w="604"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NA</w:t>
            </w:r>
          </w:p>
        </w:tc>
        <w:tc>
          <w:tcPr>
            <w:tcW w:w="999"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500"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NA</w:t>
            </w:r>
          </w:p>
        </w:tc>
      </w:tr>
      <w:tr w:rsidR="00421257">
        <w:trPr>
          <w:gridAfter w:val="1"/>
          <w:wAfter w:w="13" w:type="dxa"/>
          <w:trHeight w:val="1060"/>
          <w:jc w:val="center"/>
        </w:trPr>
        <w:tc>
          <w:tcPr>
            <w:tcW w:w="1040" w:type="dxa"/>
            <w:tcBorders>
              <w:top w:val="single" w:sz="12" w:space="0" w:color="984806"/>
              <w:left w:val="single" w:sz="12" w:space="0" w:color="FFFFFF"/>
              <w:bottom w:val="single" w:sz="12" w:space="0" w:color="984806"/>
              <w:right w:val="single" w:sz="12" w:space="0" w:color="FFFFFF"/>
            </w:tcBorders>
            <w:shd w:val="clear" w:color="auto" w:fill="FBE4D5"/>
          </w:tcPr>
          <w:p w:rsidR="00421257" w:rsidRDefault="00135351">
            <w:pPr>
              <w:tabs>
                <w:tab w:val="left" w:pos="216"/>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Shoreline Position</w:t>
            </w:r>
          </w:p>
        </w:tc>
        <w:tc>
          <w:tcPr>
            <w:tcW w:w="2577" w:type="dxa"/>
            <w:tcBorders>
              <w:top w:val="single" w:sz="12" w:space="0" w:color="984806"/>
              <w:left w:val="single" w:sz="12" w:space="0" w:color="FFFFFF"/>
              <w:bottom w:val="single" w:sz="12" w:space="0" w:color="984806"/>
              <w:right w:val="single" w:sz="24" w:space="0" w:color="FFFFFF"/>
            </w:tcBorders>
            <w:shd w:val="clear" w:color="auto" w:fill="FBE4D5"/>
          </w:tcPr>
          <w:p w:rsidR="00421257" w:rsidRDefault="00135351">
            <w:pPr>
              <w:tabs>
                <w:tab w:val="left" w:pos="216"/>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The shoreline is an establish dike trail. We do not expect any change in position due to wave energy, etc. </w:t>
            </w:r>
          </w:p>
        </w:tc>
        <w:tc>
          <w:tcPr>
            <w:tcW w:w="1750" w:type="dxa"/>
            <w:tcBorders>
              <w:top w:val="single" w:sz="12" w:space="0" w:color="984806"/>
              <w:left w:val="single" w:sz="24" w:space="0" w:color="FFFFFF"/>
              <w:bottom w:val="single" w:sz="12" w:space="0" w:color="984806"/>
              <w:right w:val="single" w:sz="12" w:space="0" w:color="FFFFFF"/>
            </w:tcBorders>
            <w:shd w:val="clear" w:color="auto" w:fill="FBE4D5"/>
          </w:tcPr>
          <w:p w:rsidR="00421257" w:rsidRDefault="00135351">
            <w:pPr>
              <w:tabs>
                <w:tab w:val="left" w:pos="360"/>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NA</w:t>
            </w:r>
          </w:p>
        </w:tc>
        <w:tc>
          <w:tcPr>
            <w:tcW w:w="604"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tabs>
                <w:tab w:val="left" w:pos="360"/>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NA</w:t>
            </w:r>
          </w:p>
        </w:tc>
        <w:tc>
          <w:tcPr>
            <w:tcW w:w="999"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tabs>
                <w:tab w:val="left" w:pos="360"/>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500"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tabs>
                <w:tab w:val="left" w:pos="360"/>
                <w:tab w:val="left" w:pos="5320"/>
              </w:tabs>
              <w:spacing w:before="10" w:after="10" w:line="240" w:lineRule="auto"/>
              <w:ind w:left="216" w:hanging="7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421257">
        <w:trPr>
          <w:gridAfter w:val="1"/>
          <w:wAfter w:w="13" w:type="dxa"/>
          <w:trHeight w:val="1060"/>
          <w:jc w:val="center"/>
        </w:trPr>
        <w:tc>
          <w:tcPr>
            <w:tcW w:w="1040" w:type="dxa"/>
            <w:tcBorders>
              <w:top w:val="single" w:sz="12" w:space="0" w:color="984806"/>
              <w:left w:val="single" w:sz="12" w:space="0" w:color="FFFFFF"/>
              <w:bottom w:val="single" w:sz="12" w:space="0" w:color="984806"/>
              <w:right w:val="single" w:sz="12" w:space="0" w:color="FFFFFF"/>
            </w:tcBorders>
            <w:shd w:val="clear" w:color="auto" w:fill="FBE4D5"/>
          </w:tcPr>
          <w:p w:rsidR="00421257" w:rsidRDefault="00135351">
            <w:pPr>
              <w:tabs>
                <w:tab w:val="left" w:pos="216"/>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Water level</w:t>
            </w:r>
          </w:p>
        </w:tc>
        <w:tc>
          <w:tcPr>
            <w:tcW w:w="2577" w:type="dxa"/>
            <w:tcBorders>
              <w:top w:val="single" w:sz="12" w:space="0" w:color="984806"/>
              <w:left w:val="single" w:sz="12" w:space="0" w:color="FFFFFF"/>
              <w:bottom w:val="single" w:sz="12" w:space="0" w:color="984806"/>
              <w:right w:val="single" w:sz="24" w:space="0" w:color="FFFFFF"/>
            </w:tcBorders>
            <w:shd w:val="clear" w:color="auto" w:fill="FBE4D5"/>
          </w:tcPr>
          <w:p w:rsidR="00421257" w:rsidRPr="00135351" w:rsidRDefault="00135351" w:rsidP="00161AE9">
            <w:pPr>
              <w:tabs>
                <w:tab w:val="left" w:pos="216"/>
                <w:tab w:val="left" w:pos="5320"/>
              </w:tabs>
              <w:spacing w:before="10" w:after="10" w:line="240" w:lineRule="auto"/>
              <w:rPr>
                <w:rFonts w:ascii="Arial Narrow" w:eastAsia="Arial Narrow" w:hAnsi="Arial Narrow" w:cs="Arial Narrow"/>
                <w:sz w:val="20"/>
                <w:szCs w:val="20"/>
                <w:highlight w:val="yellow"/>
              </w:rPr>
            </w:pPr>
            <w:r w:rsidRPr="00161AE9">
              <w:rPr>
                <w:rFonts w:ascii="Arial Narrow" w:eastAsia="Arial Narrow" w:hAnsi="Arial Narrow" w:cs="Arial Narrow"/>
                <w:sz w:val="20"/>
                <w:szCs w:val="20"/>
              </w:rPr>
              <w:t>Since this project is not a</w:t>
            </w:r>
            <w:r w:rsidR="00161AE9">
              <w:rPr>
                <w:rFonts w:ascii="Arial Narrow" w:eastAsia="Arial Narrow" w:hAnsi="Arial Narrow" w:cs="Arial Narrow"/>
                <w:sz w:val="20"/>
                <w:szCs w:val="20"/>
              </w:rPr>
              <w:t xml:space="preserve"> full</w:t>
            </w:r>
            <w:r w:rsidRPr="00161AE9">
              <w:rPr>
                <w:rFonts w:ascii="Arial Narrow" w:eastAsia="Arial Narrow" w:hAnsi="Arial Narrow" w:cs="Arial Narrow"/>
                <w:sz w:val="20"/>
                <w:szCs w:val="20"/>
              </w:rPr>
              <w:t xml:space="preserve"> total tidal restoration, we will continue to use current gauges installed in the impoundment to monitor water levels.  Water levels will be managed with the pump to help mimic tidal marsh conditions</w:t>
            </w:r>
            <w:r w:rsidR="00161AE9" w:rsidRPr="00161AE9">
              <w:rPr>
                <w:rFonts w:ascii="Arial Narrow" w:eastAsia="Arial Narrow" w:hAnsi="Arial Narrow" w:cs="Arial Narrow"/>
                <w:sz w:val="20"/>
                <w:szCs w:val="20"/>
              </w:rPr>
              <w:t>.</w:t>
            </w:r>
            <w:r w:rsidR="00161AE9">
              <w:rPr>
                <w:rFonts w:ascii="Arial Narrow" w:eastAsia="Arial Narrow" w:hAnsi="Arial Narrow" w:cs="Arial Narrow"/>
                <w:sz w:val="20"/>
                <w:szCs w:val="20"/>
              </w:rPr>
              <w:t xml:space="preserve"> The tidal marsh conditions are monitored</w:t>
            </w:r>
            <w:bookmarkStart w:id="0" w:name="_GoBack"/>
            <w:bookmarkEnd w:id="0"/>
            <w:r w:rsidR="00161AE9">
              <w:rPr>
                <w:rFonts w:ascii="Arial Narrow" w:eastAsia="Arial Narrow" w:hAnsi="Arial Narrow" w:cs="Arial Narrow"/>
                <w:sz w:val="20"/>
                <w:szCs w:val="20"/>
              </w:rPr>
              <w:t xml:space="preserve"> by data loggers on the Marsh boardwalk.</w:t>
            </w:r>
            <w:r w:rsidRPr="00161AE9">
              <w:rPr>
                <w:rFonts w:ascii="Arial Narrow" w:eastAsia="Arial Narrow" w:hAnsi="Arial Narrow" w:cs="Arial Narrow"/>
                <w:sz w:val="20"/>
                <w:szCs w:val="20"/>
              </w:rPr>
              <w:t xml:space="preserve"> </w:t>
            </w:r>
          </w:p>
        </w:tc>
        <w:tc>
          <w:tcPr>
            <w:tcW w:w="1750" w:type="dxa"/>
            <w:tcBorders>
              <w:top w:val="single" w:sz="12" w:space="0" w:color="984806"/>
              <w:left w:val="single" w:sz="24" w:space="0" w:color="FFFFFF"/>
              <w:bottom w:val="single" w:sz="12" w:space="0" w:color="984806"/>
              <w:right w:val="single" w:sz="12" w:space="0" w:color="FFFFFF"/>
            </w:tcBorders>
            <w:shd w:val="clear" w:color="auto" w:fill="FBE4D5"/>
          </w:tcPr>
          <w:p w:rsidR="00421257" w:rsidRDefault="00135351">
            <w:pPr>
              <w:tabs>
                <w:tab w:val="left" w:pos="360"/>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The entire 145 acre impoundment will be visually observed to determine water level and percent mud flats. </w:t>
            </w:r>
          </w:p>
        </w:tc>
        <w:tc>
          <w:tcPr>
            <w:tcW w:w="604"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tabs>
                <w:tab w:val="left" w:pos="360"/>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2019</w:t>
            </w:r>
          </w:p>
        </w:tc>
        <w:tc>
          <w:tcPr>
            <w:tcW w:w="999"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July 2019 This will be completed quarterly. </w:t>
            </w:r>
          </w:p>
        </w:tc>
        <w:tc>
          <w:tcPr>
            <w:tcW w:w="2500"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tabs>
                <w:tab w:val="left" w:pos="360"/>
                <w:tab w:val="left" w:pos="5320"/>
              </w:tabs>
              <w:spacing w:before="10" w:after="10" w:line="240" w:lineRule="auto"/>
              <w:ind w:left="216" w:hanging="720"/>
              <w:rPr>
                <w:rFonts w:ascii="Arial Narrow" w:eastAsia="Arial Narrow" w:hAnsi="Arial Narrow" w:cs="Arial Narrow"/>
                <w:sz w:val="20"/>
                <w:szCs w:val="20"/>
              </w:rPr>
            </w:pPr>
            <w:proofErr w:type="spellStart"/>
            <w:r>
              <w:rPr>
                <w:rFonts w:ascii="Arial Narrow" w:eastAsia="Arial Narrow" w:hAnsi="Arial Narrow" w:cs="Arial Narrow"/>
                <w:sz w:val="20"/>
                <w:szCs w:val="20"/>
              </w:rPr>
              <w:t>fdgd</w:t>
            </w:r>
            <w:proofErr w:type="spellEnd"/>
          </w:p>
        </w:tc>
      </w:tr>
      <w:tr w:rsidR="00421257">
        <w:trPr>
          <w:gridAfter w:val="1"/>
          <w:wAfter w:w="13" w:type="dxa"/>
          <w:trHeight w:val="1060"/>
          <w:jc w:val="center"/>
        </w:trPr>
        <w:tc>
          <w:tcPr>
            <w:tcW w:w="1040" w:type="dxa"/>
            <w:tcBorders>
              <w:top w:val="single" w:sz="12" w:space="0" w:color="984806"/>
              <w:left w:val="single" w:sz="12" w:space="0" w:color="FFFFFF"/>
              <w:bottom w:val="single" w:sz="12" w:space="0" w:color="984806"/>
              <w:right w:val="single" w:sz="12" w:space="0" w:color="FFFFFF"/>
            </w:tcBorders>
            <w:shd w:val="clear" w:color="auto" w:fill="FBE4D5"/>
          </w:tcPr>
          <w:p w:rsidR="00421257" w:rsidRDefault="00135351">
            <w:pPr>
              <w:tabs>
                <w:tab w:val="left" w:pos="216"/>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Oyster reef restored (acres)[if applicable]</w:t>
            </w:r>
          </w:p>
        </w:tc>
        <w:tc>
          <w:tcPr>
            <w:tcW w:w="2577" w:type="dxa"/>
            <w:tcBorders>
              <w:top w:val="single" w:sz="12" w:space="0" w:color="984806"/>
              <w:left w:val="single" w:sz="12" w:space="0" w:color="FFFFFF"/>
              <w:bottom w:val="single" w:sz="12" w:space="0" w:color="984806"/>
              <w:right w:val="single" w:sz="24" w:space="0" w:color="FFFFFF"/>
            </w:tcBorders>
            <w:shd w:val="clear" w:color="auto" w:fill="FBE4D5"/>
          </w:tcPr>
          <w:p w:rsidR="00421257" w:rsidRDefault="00135351">
            <w:pPr>
              <w:tabs>
                <w:tab w:val="left" w:pos="216"/>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Not applicable</w:t>
            </w:r>
          </w:p>
        </w:tc>
        <w:tc>
          <w:tcPr>
            <w:tcW w:w="1750" w:type="dxa"/>
            <w:tcBorders>
              <w:top w:val="single" w:sz="12" w:space="0" w:color="984806"/>
              <w:left w:val="single" w:sz="24" w:space="0" w:color="FFFFFF"/>
              <w:bottom w:val="single" w:sz="12" w:space="0" w:color="984806"/>
              <w:right w:val="single" w:sz="12" w:space="0" w:color="FFFFFF"/>
            </w:tcBorders>
            <w:shd w:val="clear" w:color="auto" w:fill="FBE4D5"/>
          </w:tcPr>
          <w:p w:rsidR="00421257" w:rsidRDefault="00135351">
            <w:pPr>
              <w:tabs>
                <w:tab w:val="left" w:pos="360"/>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Not applicable</w:t>
            </w:r>
          </w:p>
        </w:tc>
        <w:tc>
          <w:tcPr>
            <w:tcW w:w="604"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tabs>
                <w:tab w:val="left" w:pos="360"/>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N/A</w:t>
            </w:r>
          </w:p>
        </w:tc>
        <w:tc>
          <w:tcPr>
            <w:tcW w:w="999"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tabs>
                <w:tab w:val="left" w:pos="360"/>
                <w:tab w:val="left" w:pos="5320"/>
              </w:tabs>
              <w:spacing w:before="10" w:after="10" w:line="240" w:lineRule="auto"/>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500" w:type="dxa"/>
            <w:tcBorders>
              <w:top w:val="single" w:sz="12" w:space="0" w:color="984806"/>
              <w:left w:val="single" w:sz="24" w:space="0" w:color="FFFFFF"/>
              <w:bottom w:val="single" w:sz="12" w:space="0" w:color="984806"/>
              <w:right w:val="single" w:sz="24" w:space="0" w:color="FFFFFF"/>
            </w:tcBorders>
            <w:shd w:val="clear" w:color="auto" w:fill="FBE4D5"/>
          </w:tcPr>
          <w:p w:rsidR="00421257" w:rsidRDefault="00135351">
            <w:pPr>
              <w:tabs>
                <w:tab w:val="left" w:pos="360"/>
                <w:tab w:val="left" w:pos="5320"/>
              </w:tabs>
              <w:spacing w:before="10" w:after="10" w:line="240" w:lineRule="auto"/>
              <w:ind w:left="216" w:hanging="720"/>
              <w:rPr>
                <w:rFonts w:ascii="Arial Narrow" w:eastAsia="Arial Narrow" w:hAnsi="Arial Narrow" w:cs="Arial Narrow"/>
                <w:sz w:val="20"/>
                <w:szCs w:val="20"/>
              </w:rPr>
            </w:pPr>
            <w:proofErr w:type="spellStart"/>
            <w:r>
              <w:rPr>
                <w:rFonts w:ascii="Arial Narrow" w:eastAsia="Arial Narrow" w:hAnsi="Arial Narrow" w:cs="Arial Narrow"/>
                <w:sz w:val="20"/>
                <w:szCs w:val="20"/>
              </w:rPr>
              <w:t>NotNNNot</w:t>
            </w:r>
            <w:proofErr w:type="spellEnd"/>
            <w:r>
              <w:rPr>
                <w:rFonts w:ascii="Arial Narrow" w:eastAsia="Arial Narrow" w:hAnsi="Arial Narrow" w:cs="Arial Narrow"/>
                <w:sz w:val="20"/>
                <w:szCs w:val="20"/>
              </w:rPr>
              <w:t xml:space="preserve"> applicable</w:t>
            </w:r>
          </w:p>
        </w:tc>
      </w:tr>
    </w:tbl>
    <w:p w:rsidR="00421257" w:rsidRDefault="00421257">
      <w:pPr>
        <w:widowControl w:val="0"/>
        <w:spacing w:line="240" w:lineRule="auto"/>
        <w:rPr>
          <w:rFonts w:ascii="Calibri" w:eastAsia="Calibri" w:hAnsi="Calibri" w:cs="Calibri"/>
          <w:b/>
        </w:rPr>
      </w:pPr>
    </w:p>
    <w:p w:rsidR="00421257" w:rsidRDefault="00421257"/>
    <w:p w:rsidR="00421257" w:rsidRDefault="00421257"/>
    <w:p w:rsidR="00421257" w:rsidRDefault="00421257"/>
    <w:p w:rsidR="00421257" w:rsidRDefault="00421257"/>
    <w:p w:rsidR="00421257" w:rsidRDefault="00421257"/>
    <w:p w:rsidR="00421257" w:rsidRDefault="00421257"/>
    <w:p w:rsidR="00421257" w:rsidRDefault="00421257"/>
    <w:p w:rsidR="00421257" w:rsidRDefault="00421257"/>
    <w:p w:rsidR="00421257" w:rsidRDefault="00421257"/>
    <w:p w:rsidR="00421257" w:rsidRDefault="00421257"/>
    <w:p w:rsidR="00421257" w:rsidRDefault="00421257"/>
    <w:sectPr w:rsidR="004212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57"/>
    <w:rsid w:val="00135351"/>
    <w:rsid w:val="00161AE9"/>
    <w:rsid w:val="0042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9D00"/>
  <w15:docId w15:val="{D74B131D-060E-48A0-887E-06969006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Bergerson, Mariana</cp:lastModifiedBy>
  <cp:revision>3</cp:revision>
  <dcterms:created xsi:type="dcterms:W3CDTF">2019-08-19T17:46:00Z</dcterms:created>
  <dcterms:modified xsi:type="dcterms:W3CDTF">2019-08-22T16:16:00Z</dcterms:modified>
</cp:coreProperties>
</file>